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01" w:rsidRDefault="003E5C01">
      <w:bookmarkStart w:id="0" w:name="_GoBack"/>
      <w:bookmarkEnd w:id="0"/>
    </w:p>
    <w:tbl>
      <w:tblPr>
        <w:tblW w:w="14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5"/>
        <w:gridCol w:w="2300"/>
        <w:gridCol w:w="3240"/>
        <w:gridCol w:w="3362"/>
        <w:gridCol w:w="2719"/>
        <w:gridCol w:w="2515"/>
      </w:tblGrid>
      <w:tr w:rsidR="003E5C01" w:rsidTr="00D47FC1">
        <w:trPr>
          <w:trHeight w:val="1325"/>
          <w:jc w:val="center"/>
        </w:trPr>
        <w:tc>
          <w:tcPr>
            <w:tcW w:w="845" w:type="dxa"/>
            <w:vAlign w:val="center"/>
          </w:tcPr>
          <w:p w:rsidR="003E5C01" w:rsidRPr="00CD60D8" w:rsidRDefault="0075399B" w:rsidP="003E5C01">
            <w:pPr>
              <w:pStyle w:val="Heading1"/>
              <w:rPr>
                <w:rFonts w:ascii="Times New Roman" w:hAnsi="Times New Roman"/>
                <w:caps w:val="0"/>
                <w:noProof/>
                <w:color w:val="auto"/>
                <w:sz w:val="24"/>
                <w:szCs w:val="24"/>
                <w:highlight w:val="yellow"/>
                <w:lang w:val="sr-Cyrl-BA"/>
              </w:rPr>
            </w:pPr>
            <w:r w:rsidRPr="00CD60D8">
              <w:rPr>
                <w:rFonts w:ascii="Times New Roman" w:hAnsi="Times New Roman"/>
                <w:caps w:val="0"/>
                <w:noProof/>
                <w:color w:val="auto"/>
                <w:sz w:val="24"/>
                <w:szCs w:val="24"/>
                <w:lang w:val="sr-Cyrl-BA"/>
              </w:rPr>
              <w:t>Р.б</w:t>
            </w:r>
            <w:r w:rsidR="003E5C01" w:rsidRPr="00CD60D8">
              <w:rPr>
                <w:rFonts w:ascii="Times New Roman" w:hAnsi="Times New Roman"/>
                <w:caps w:val="0"/>
                <w:noProof/>
                <w:color w:val="auto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300" w:type="dxa"/>
            <w:vAlign w:val="center"/>
          </w:tcPr>
          <w:p w:rsidR="003E5C01" w:rsidRPr="0075399B" w:rsidRDefault="003E5C01" w:rsidP="00524C89">
            <w:pPr>
              <w:pStyle w:val="Heading1"/>
              <w:rPr>
                <w:rFonts w:ascii="Times New Roman" w:hAnsi="Times New Roman"/>
                <w:caps w:val="0"/>
                <w:noProof/>
                <w:color w:val="auto"/>
                <w:lang w:val="sr-Cyrl-CS"/>
              </w:rPr>
            </w:pPr>
            <w:r w:rsidRPr="0075399B">
              <w:rPr>
                <w:rFonts w:ascii="Times New Roman" w:hAnsi="Times New Roman"/>
                <w:caps w:val="0"/>
                <w:noProof/>
                <w:color w:val="auto"/>
                <w:lang w:val="sr-Cyrl-CS"/>
              </w:rPr>
              <w:t>УЗОРАК</w:t>
            </w:r>
          </w:p>
        </w:tc>
        <w:tc>
          <w:tcPr>
            <w:tcW w:w="3240" w:type="dxa"/>
            <w:vAlign w:val="center"/>
          </w:tcPr>
          <w:p w:rsidR="003E5C01" w:rsidRPr="0075399B" w:rsidRDefault="003E5C01" w:rsidP="00524C89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18"/>
                <w:lang w:val="sr-Cyrl-CS"/>
              </w:rPr>
            </w:pPr>
            <w:r w:rsidRPr="0075399B">
              <w:rPr>
                <w:rFonts w:ascii="Times New Roman" w:hAnsi="Times New Roman"/>
                <w:b/>
                <w:bCs/>
                <w:noProof/>
                <w:color w:val="auto"/>
                <w:sz w:val="18"/>
                <w:lang w:val="sr-Cyrl-CS"/>
              </w:rPr>
              <w:t>ПАРАМЕТАР</w:t>
            </w:r>
          </w:p>
        </w:tc>
        <w:tc>
          <w:tcPr>
            <w:tcW w:w="3362" w:type="dxa"/>
            <w:vAlign w:val="center"/>
          </w:tcPr>
          <w:p w:rsidR="003E5C01" w:rsidRPr="0075399B" w:rsidRDefault="003E5C01" w:rsidP="00524C89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18"/>
                <w:lang w:val="sr-Cyrl-CS"/>
              </w:rPr>
            </w:pPr>
            <w:r w:rsidRPr="0075399B">
              <w:rPr>
                <w:rFonts w:ascii="Times New Roman" w:hAnsi="Times New Roman"/>
                <w:b/>
                <w:bCs/>
                <w:noProof/>
                <w:color w:val="auto"/>
                <w:sz w:val="18"/>
                <w:lang w:val="sr-Cyrl-CS"/>
              </w:rPr>
              <w:t>МЕТОДА</w:t>
            </w:r>
          </w:p>
        </w:tc>
        <w:tc>
          <w:tcPr>
            <w:tcW w:w="2719" w:type="dxa"/>
            <w:vAlign w:val="center"/>
          </w:tcPr>
          <w:p w:rsidR="003E5C01" w:rsidRPr="0075399B" w:rsidRDefault="003E5C01" w:rsidP="00524C89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18"/>
                <w:lang w:val="sr-Cyrl-CS"/>
              </w:rPr>
            </w:pPr>
            <w:r w:rsidRPr="0075399B">
              <w:rPr>
                <w:rFonts w:ascii="Times New Roman" w:hAnsi="Times New Roman"/>
                <w:b/>
                <w:bCs/>
                <w:noProof/>
                <w:color w:val="auto"/>
                <w:sz w:val="18"/>
                <w:lang w:val="sr-Cyrl-CS"/>
              </w:rPr>
              <w:t>ИЗВОР МЕТОДЕ (документ у коме је метода описана)</w:t>
            </w:r>
          </w:p>
        </w:tc>
        <w:tc>
          <w:tcPr>
            <w:tcW w:w="2515" w:type="dxa"/>
            <w:vAlign w:val="center"/>
          </w:tcPr>
          <w:p w:rsidR="003E5C01" w:rsidRPr="0075399B" w:rsidRDefault="003E5C01" w:rsidP="00524C89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18"/>
                <w:lang w:val="sr-Cyrl-CS"/>
              </w:rPr>
            </w:pPr>
            <w:r w:rsidRPr="0075399B">
              <w:rPr>
                <w:rFonts w:ascii="Times New Roman" w:hAnsi="Times New Roman"/>
                <w:b/>
                <w:bCs/>
                <w:noProof/>
                <w:color w:val="auto"/>
                <w:sz w:val="18"/>
                <w:lang w:val="sr-Cyrl-CS"/>
              </w:rPr>
              <w:t>НАПОМЕНА (стандардна, модификована, интерна, аутоматска)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punktat, likvor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Glukoza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metoda sa heksokinazom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, EKF Biosen C)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Urea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metoda sa ureazom i glutamat dehidrogenazom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Kreatinin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Jaffe–kinetička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Mokraćna kiselina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kolorimetrijska metoda sa urikazom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urin, punktat, likvor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Ukupni proteini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Kolorimetrijska metoda–Biuret</w:t>
            </w:r>
          </w:p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Albumin (ALB)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Kolorimetrijska metoda– Bromkrezol zeleno (BCG)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C–reaktivni protein (CRP)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Ukupni bilirubin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Diazo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Direktni bilirubin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Diazo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Kalijum (K)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Jon selektivna elektroda (ISE)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punktat, likvor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Glukoza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metoda sa heksokinazom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, EKF Biosen C)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Urea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metoda sa ureazom i glutamat dehidrogenazom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Kreatinin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Jaffe–kinetička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Mokraćna kiselina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kolorimetrijska metoda sa urikazom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urin, punktat, likvor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Ukupni proteini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Kolorimetrijska metoda–Biuret</w:t>
            </w:r>
          </w:p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39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Albumin (ALB)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Kolorimetrijska metoda– Bromkrezol zeleno (BCG)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C–reaktivni protein (CRP)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Ukupni bilirubin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Diazo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Direktni bilirubin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Diazo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Kalijum (K)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Jon selektivna elektroda (ISE)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Natrijum (Na)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Jon selektivna elektroda (ISE)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urin, likvor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Hloridi (Cl)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Jon selektivna elektroda (ISE)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Kalcijum (Ca)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Kolorimetrijska metoda sa Arsenazo III hromogenom; Kolorimetrijska metoda sa o–krezolftaleinom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Neorganski fosfat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Fosfomolibdat UV metod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Magnezijum (Mg)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metoda;Kolorimetrijska metoda sa Hlorofosfonazo III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punktat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Holesterol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kolorimetrijska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Trigliceridi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kolorimetrijska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HDL–holesterol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kolorimetrijska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LDL–holesterol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kolorimetrijska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Kreatin kinaza (CK)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Referentna IFCC enzimska kinetička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Automatska, standardna IFCC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Kreatin kinaza MB izoenzim (CK–MB)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Referentna IFCC enzimska kinetička metoda sa imunoinhibicijom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Automatska, standardna IFCC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punktat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Laktat dehidrogenaza (LDH)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Referentna IFCC enzimska kinetička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Automatska, standardna IFCC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Aspartat aminotransferaza (AST)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Referentna IFCC enzimska kinetička  metoda sa piridoksal fosfatom; 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lastRenderedPageBreak/>
              <w:t>Referentna IFCC enzimska kinetička metoda bez piridoksal fosfata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lastRenderedPageBreak/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Automatska, standardna IFCC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Alanin aminotransferaza (ALT)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Referentna IFCC enzimska kinetička  metoda sa piridoksal fosfatom; Referentna IFCC enzimska kinetička metoda bez piridoksal fosfata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Automatska, standardna IFCC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Serum, 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α–amilaza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kolorimetrijska metoda sa CNPG3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Lipaza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kolorimetrijska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Alkalna fosfataza (ALP)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Referentna IFCC enzimska kolorimetrijska metoda (para–nitro fenil fosfat)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Automatska, standardna IFCC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γ -glutamiltransferaza (γ–GT)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Referentna IFCC enzimska kolorimetrijska metoda (L γ–glutamil–3–karboksi–4–nitroanilid metoda)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Antistreptolizinski test (ASTO)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Reumatoidni faktor (RF)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IgE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Architect ci8200)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IgA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IgM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IgG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C3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C4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Feritin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HbA1c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Architect ci8200)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Gvožđe (Fe)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Ferozin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Visoko senzitivni troponin–I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Architect ci8200)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Prokalcitinon (PCT)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Estradiol (E2)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Folikulostimulirajući hormon (FSH)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Luteinizirajući hormon (LH)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Testosteron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Prolaktin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Progesteron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,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Humani horionski gonadotropin (β–HCG)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Paratireoidni hormon (PTH)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Elektro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Cobas Roche 6000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Karcinoembriogeni antigen (CEA)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,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Karcinom antigen 125 (CA 125)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Karcinom antigen 19–9 (CA 19–9)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Karcinom antigen 15–3 (CA 15–3)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Alfa–fetoprotein  (AFP)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Prostata specifični antigen (PSA)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Slobodni prostatični antigen (fPSA)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Humani epidimimalni protein 4 (HE4)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Slobodni tiroksin–fT4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Tireo–stimulirajući hormon (TSH)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Antitireoglobilin antitjela (anti–Tg)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Antitjela na tiroid peroksidazu</w:t>
            </w:r>
          </w:p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(Anti TPO)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Insulin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Kortizol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Adrenokortokotropni hormon (ACTH)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Elektro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Cobas Roche 6000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Tireoglobulin (Tg)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2734D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 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Kalcitonin (hCT)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Elektro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Cobas Roche 6000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Interleukin-6 (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IL-6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Elektro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Cobas Roche 6000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 xml:space="preserve">25-OH vitamin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E766CD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E766CD" w:rsidRPr="008E76FC" w:rsidRDefault="00E766CD" w:rsidP="00CE4FB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NT-proBNP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 w:rsidR="00575660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CD" w:rsidRPr="00DA2FF8" w:rsidRDefault="00E766CD" w:rsidP="00E766CD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958AB" w:rsidRPr="00D958AB" w:rsidRDefault="00D958AB" w:rsidP="00D958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D958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C-peptid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958AB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Serum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958AB" w:rsidRPr="00D958AB" w:rsidRDefault="00D958AB" w:rsidP="00D958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958A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Folna</w:t>
            </w:r>
            <w:proofErr w:type="spellEnd"/>
            <w:r w:rsidRPr="00D958A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958A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kiselina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958AB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  <w:t>Serum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958AB" w:rsidRPr="00D958AB" w:rsidRDefault="00D958AB" w:rsidP="00D958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958A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Vitamin B12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958AB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  <w:t>Serum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958AB" w:rsidRPr="00D958AB" w:rsidRDefault="00D958AB" w:rsidP="00D958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958A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β2-mikroglobulin 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958AB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Hemiluminiscentno imunoodređivanje sa mikročesticama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 xml:space="preserve">Uputstvo proizvođača (Abbot </w:t>
            </w: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Alinity ci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Inhalatorni alergeni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3176F9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Imunoblot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3176F9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Euroimmun-test instrukcije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8A0D2D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Ručna metoda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Latn-BA"/>
              </w:rPr>
              <w:t>Serum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 xml:space="preserve">Nutritivni alergeni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3176F9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Imunoblot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3176F9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575660"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Euroimmun-test instrukcije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9B7465"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Ručna metoda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Eritrociti (RBC)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Metoda impendance sa hidrodinamičkim fokusiranjem ; Protočna citometrij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e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,Metoda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 xml:space="preserve"> </w:t>
            </w: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impedance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Hemoglobin (Hgb)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Fotometrijska metoda, bez cijanida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Hematokrit (HCT)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Metoda impendance sa hidrodinamičkim fokusiranjem ; Protočna citometrija. , Metoda impedance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Leukociti (WBC)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Fluorescentan protočna citometrija; Protočna citometrija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Neutrofili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Fluorescentan protočna citometrija; Protočna citometrija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Eozinifili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Fluorescentan protočna citometrija; Protočna citometrija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Bazofili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Fluorescentan protočna citometrija; Protočna citometrija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Limfociti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Fluorescentan protočna citometrija; Protočna citometrija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Monociti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Fluorescentan protočna citometrija; Protočna citometrija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Trombociti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Metoda impendance sa hidrodinamičkim fokusiranjem ,paralelno sa RBC brojanjem; Protočna citometrija , Metoda impedance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Retikulociti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Protočna citometrija-nova metilen plavo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Diferencijlna krvna slika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Metoda bojenja po May–Grinveldu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i Sysmex) i Miroljub V. Petrović, Praktikum iz hematologije, Farmaceutski fakultet Beograd, 1994.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 i 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Puna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Sedimentacija eritrocita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Metoda po Vestgrinu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(KIMA)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pCO2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Potenciometrija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Amperiometrija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lastRenderedPageBreak/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pH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Potenciometrija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Ca2+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Potenciometrija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K+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Potenciometrija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N+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Potenciometrija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Cl–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Potenciometrija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Hemoglobin (Hb)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Spektrofotometrijska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Hematokrit (Hct)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Spektrofotometrijska metoda, Konduktometrija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sO2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Spektrofotometrijska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O2Hb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Spektrofotometrijska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COHb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Spektrofotometrijska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HHb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Spektrofotometrijska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MetHb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Spektrofotometrijska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Arterijska krv, kapilarna krv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Neonatalni bilirubin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Spektrofotometrijska metoda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(ROCHE COBAS b 221 i ABL 800 FLEX)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Plazma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Vrijeme krvarenja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Metoda po Djuku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Miroljub V. Petrović, Praktikum iz hematologije, Farmaceutski fakultet Beograd, 1994.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Plazma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Vrijeme koagulacije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Metoda po Li–Vajtu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Miroljub V. Petrović, Praktikum iz hematologije, Farmaceutski fakultet Beograd, 1994.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Plazma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Fibrinogen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Vrijeme formiranja ugruška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(Tehnoclone i Diagnostica Stago)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Poluautomatska i 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Plazma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Protrombinsko vrijeme (PT)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Vrijeme formiranja ugruška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(Tehnoclone i Diagnostica Stago)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Poluautomatska i 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Plazma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Aktivno parcijalno tromboplastinsko vrijeme (aPTT)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Vrijeme formiranja ugruška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(Tehnoclone i Diagnostica Stago)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Poluautomatska i 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Plazma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D–dimer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proizvođača (Abbot Architect ci8200)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Glukoza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Enzimska reakcija sa glukoza–oksidazom, peroksidazom i hromogenom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Bilirubin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Reakcija sa diazotovanog–2.4–dihloranilina u kiseloj sredini i nastanak obojenog azo–kompleksa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Ketoni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Reakcija sa acetosirćetnom kiselinom i nitroprusidom i nastanak obojenog kompleksa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Specifična težina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Metoda zasnovana na određivanju broja jona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Krv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Reakcija sa organskim peroksidom i hromogenom tetrametil–benzidinom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pH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Reakcija sa indikatorima metilen crveno/brom–timol–plavo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Proteini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Reakcija „proteinske greške“ indikatora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Urobilinogen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Reakcija sa p–dimetamonobenzaldehidom u kiseloj sredini i nastanak obojenog kompleksa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Nitriti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Reakcija sa p– arsenovom kiselinom i nastanak diazonijum kompleksa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Urin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Sediment urina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Pregled eritrocita, leukocita, epitelnih ćelija, cilindara, kristala, bakterija, drugih mikroorganizama i ostalih komponenti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Latn-BA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N.Majkić-Singh, S.Spasić, M.Stojanov, Z.J.Ivanović, V.Kalimanovska; Medicinska biohemija; Principi i metode-Praktikum, Beograd, 1995 i 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Feces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Krv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Imunoesej, Imunoturbidimetrija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Uputstvo proizviđača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 i poluautomatska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Likvor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Ćelije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Mikroskopiranje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OTON ŠTARK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KLINIČKE LABORATORIJSKE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ANALIZE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MEDICINSKA KNJIGA BGD-ZG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1969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  <w:tr w:rsidR="00D958AB" w:rsidTr="00D47FC1">
        <w:trPr>
          <w:trHeight w:val="416"/>
          <w:jc w:val="center"/>
        </w:trPr>
        <w:tc>
          <w:tcPr>
            <w:tcW w:w="845" w:type="dxa"/>
            <w:vAlign w:val="center"/>
          </w:tcPr>
          <w:p w:rsidR="00D958AB" w:rsidRPr="008E76FC" w:rsidRDefault="00D958AB" w:rsidP="00D958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pStyle w:val="Heading1"/>
              <w:jc w:val="left"/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 w:val="0"/>
                <w:caps w:val="0"/>
                <w:noProof/>
                <w:color w:val="auto"/>
                <w:sz w:val="20"/>
                <w:lang w:val="sr-Cyrl-CS"/>
              </w:rPr>
              <w:t>Likvor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Proteini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Kvalitativno određivanje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OTON ŠTARK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KLINIČKE LABORATORIJSKE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ANALIZE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MEDICINSKA KNJIGA BGD-ZG</w:t>
            </w:r>
          </w:p>
          <w:p w:rsidR="00D958AB" w:rsidRPr="00DA2FF8" w:rsidRDefault="00D958AB" w:rsidP="00D958AB">
            <w:pPr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smallCaps/>
                <w:noProof/>
                <w:color w:val="auto"/>
                <w:sz w:val="20"/>
                <w:lang w:val="sr-Cyrl-CS"/>
              </w:rPr>
              <w:t>1969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B" w:rsidRPr="00DA2FF8" w:rsidRDefault="00D958AB" w:rsidP="00D958AB">
            <w:pPr>
              <w:jc w:val="center"/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</w:pPr>
            <w:r w:rsidRPr="00DA2FF8">
              <w:rPr>
                <w:rFonts w:ascii="Times New Roman" w:hAnsi="Times New Roman"/>
                <w:bCs/>
                <w:noProof/>
                <w:color w:val="auto"/>
                <w:sz w:val="20"/>
                <w:lang w:val="sr-Cyrl-CS"/>
              </w:rPr>
              <w:t>Ručna</w:t>
            </w:r>
          </w:p>
        </w:tc>
      </w:tr>
    </w:tbl>
    <w:p w:rsidR="001027A0" w:rsidRDefault="001027A0">
      <w:pPr>
        <w:rPr>
          <w:color w:val="000080"/>
        </w:rPr>
      </w:pPr>
    </w:p>
    <w:sectPr w:rsidR="001027A0">
      <w:headerReference w:type="default" r:id="rId7"/>
      <w:footerReference w:type="default" r:id="rId8"/>
      <w:pgSz w:w="16840" w:h="11907" w:orient="landscape" w:code="9"/>
      <w:pgMar w:top="1077" w:right="1021" w:bottom="1077" w:left="90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34" w:rsidRDefault="00F37C34">
      <w:r>
        <w:separator/>
      </w:r>
    </w:p>
  </w:endnote>
  <w:endnote w:type="continuationSeparator" w:id="0">
    <w:p w:rsidR="00F37C34" w:rsidRDefault="00F3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C1" w:rsidRPr="00F639C8" w:rsidRDefault="00D47FC1" w:rsidP="00EB5128">
    <w:pPr>
      <w:pStyle w:val="Footer"/>
      <w:jc w:val="center"/>
      <w:rPr>
        <w:rFonts w:ascii="Times New Roman" w:hAnsi="Times New Roman"/>
        <w:color w:val="auto"/>
        <w:szCs w:val="24"/>
      </w:rPr>
    </w:pPr>
    <w:r w:rsidRPr="00F639C8">
      <w:rPr>
        <w:rStyle w:val="PageNumber"/>
        <w:rFonts w:ascii="Times New Roman" w:hAnsi="Times New Roman"/>
        <w:color w:val="auto"/>
        <w:szCs w:val="24"/>
        <w:lang w:val="sr-Cyrl-RS"/>
      </w:rPr>
      <w:t xml:space="preserve">Страна </w:t>
    </w:r>
    <w:r w:rsidRPr="00F639C8">
      <w:rPr>
        <w:rStyle w:val="PageNumber"/>
        <w:rFonts w:ascii="Times New Roman" w:hAnsi="Times New Roman"/>
        <w:color w:val="auto"/>
        <w:szCs w:val="24"/>
      </w:rPr>
      <w:fldChar w:fldCharType="begin"/>
    </w:r>
    <w:r w:rsidRPr="00F639C8">
      <w:rPr>
        <w:rStyle w:val="PageNumber"/>
        <w:rFonts w:ascii="Times New Roman" w:hAnsi="Times New Roman"/>
        <w:color w:val="auto"/>
        <w:szCs w:val="24"/>
      </w:rPr>
      <w:instrText xml:space="preserve"> PAGE </w:instrText>
    </w:r>
    <w:r w:rsidRPr="00F639C8">
      <w:rPr>
        <w:rStyle w:val="PageNumber"/>
        <w:rFonts w:ascii="Times New Roman" w:hAnsi="Times New Roman"/>
        <w:color w:val="auto"/>
        <w:szCs w:val="24"/>
      </w:rPr>
      <w:fldChar w:fldCharType="separate"/>
    </w:r>
    <w:r w:rsidR="006E43D0">
      <w:rPr>
        <w:rStyle w:val="PageNumber"/>
        <w:rFonts w:ascii="Times New Roman" w:hAnsi="Times New Roman"/>
        <w:noProof/>
        <w:color w:val="auto"/>
        <w:szCs w:val="24"/>
      </w:rPr>
      <w:t>5</w:t>
    </w:r>
    <w:r w:rsidRPr="00F639C8">
      <w:rPr>
        <w:rStyle w:val="PageNumber"/>
        <w:rFonts w:ascii="Times New Roman" w:hAnsi="Times New Roman"/>
        <w:color w:val="auto"/>
        <w:szCs w:val="24"/>
      </w:rPr>
      <w:fldChar w:fldCharType="end"/>
    </w:r>
    <w:r w:rsidRPr="00F639C8">
      <w:rPr>
        <w:rStyle w:val="PageNumber"/>
        <w:rFonts w:ascii="Times New Roman" w:hAnsi="Times New Roman"/>
        <w:color w:val="auto"/>
        <w:szCs w:val="24"/>
      </w:rPr>
      <w:t xml:space="preserve"> o</w:t>
    </w:r>
    <w:r w:rsidRPr="00F639C8">
      <w:rPr>
        <w:rStyle w:val="PageNumber"/>
        <w:rFonts w:ascii="Times New Roman" w:hAnsi="Times New Roman"/>
        <w:color w:val="auto"/>
        <w:szCs w:val="24"/>
        <w:lang w:val="sr-Cyrl-CS"/>
      </w:rPr>
      <w:t>д</w:t>
    </w:r>
    <w:r w:rsidRPr="00F639C8">
      <w:rPr>
        <w:rStyle w:val="PageNumber"/>
        <w:rFonts w:ascii="Times New Roman" w:hAnsi="Times New Roman"/>
        <w:color w:val="auto"/>
        <w:szCs w:val="24"/>
      </w:rPr>
      <w:t xml:space="preserve"> </w:t>
    </w:r>
    <w:r w:rsidRPr="00F639C8">
      <w:rPr>
        <w:rStyle w:val="PageNumber"/>
        <w:rFonts w:ascii="Times New Roman" w:hAnsi="Times New Roman"/>
        <w:color w:val="auto"/>
        <w:szCs w:val="24"/>
      </w:rPr>
      <w:fldChar w:fldCharType="begin"/>
    </w:r>
    <w:r w:rsidRPr="00F639C8">
      <w:rPr>
        <w:rStyle w:val="PageNumber"/>
        <w:rFonts w:ascii="Times New Roman" w:hAnsi="Times New Roman"/>
        <w:color w:val="auto"/>
        <w:szCs w:val="24"/>
      </w:rPr>
      <w:instrText xml:space="preserve"> NUMPAGES </w:instrText>
    </w:r>
    <w:r w:rsidRPr="00F639C8">
      <w:rPr>
        <w:rStyle w:val="PageNumber"/>
        <w:rFonts w:ascii="Times New Roman" w:hAnsi="Times New Roman"/>
        <w:color w:val="auto"/>
        <w:szCs w:val="24"/>
      </w:rPr>
      <w:fldChar w:fldCharType="separate"/>
    </w:r>
    <w:r w:rsidR="006E43D0">
      <w:rPr>
        <w:rStyle w:val="PageNumber"/>
        <w:rFonts w:ascii="Times New Roman" w:hAnsi="Times New Roman"/>
        <w:noProof/>
        <w:color w:val="auto"/>
        <w:szCs w:val="24"/>
      </w:rPr>
      <w:t>10</w:t>
    </w:r>
    <w:r w:rsidRPr="00F639C8">
      <w:rPr>
        <w:rStyle w:val="PageNumber"/>
        <w:rFonts w:ascii="Times New Roman" w:hAnsi="Times New Roman"/>
        <w:color w:val="auto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34" w:rsidRDefault="00F37C34">
      <w:r>
        <w:separator/>
      </w:r>
    </w:p>
  </w:footnote>
  <w:footnote w:type="continuationSeparator" w:id="0">
    <w:p w:rsidR="00F37C34" w:rsidRDefault="00F3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410"/>
      <w:gridCol w:w="9923"/>
      <w:gridCol w:w="2579"/>
    </w:tblGrid>
    <w:tr w:rsidR="00D47FC1" w:rsidRPr="00EB5128" w:rsidTr="00EB5128">
      <w:trPr>
        <w:trHeight w:val="699"/>
        <w:jc w:val="center"/>
      </w:trPr>
      <w:tc>
        <w:tcPr>
          <w:tcW w:w="2410" w:type="dxa"/>
          <w:vAlign w:val="center"/>
        </w:tcPr>
        <w:p w:rsidR="00D47FC1" w:rsidRPr="00EB5128" w:rsidRDefault="00D47FC1" w:rsidP="00867ABA">
          <w:pPr>
            <w:pStyle w:val="Header"/>
            <w:jc w:val="center"/>
            <w:rPr>
              <w:rFonts w:ascii="Times New Roman" w:hAnsi="Times New Roman"/>
              <w:b/>
              <w:bCs/>
              <w:color w:val="auto"/>
              <w:sz w:val="32"/>
            </w:rPr>
          </w:pPr>
          <w:r w:rsidRPr="00EB5128">
            <w:rPr>
              <w:rFonts w:ascii="Times New Roman" w:hAnsi="Times New Roman"/>
              <w:noProof/>
              <w:lang w:val="en-US"/>
            </w:rPr>
            <w:drawing>
              <wp:inline distT="0" distB="0" distL="0" distR="0">
                <wp:extent cx="624840" cy="571500"/>
                <wp:effectExtent l="0" t="0" r="3810" b="0"/>
                <wp:docPr id="240" name="Picture 240" descr="C:\Users\x\Desktop\logo ciri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0" descr="C:\Users\x\Desktop\logo ciri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:rsidR="00D47FC1" w:rsidRPr="00EB5128" w:rsidRDefault="00D47FC1" w:rsidP="00EB5128">
          <w:pPr>
            <w:pStyle w:val="Header"/>
            <w:tabs>
              <w:tab w:val="clear" w:pos="4320"/>
              <w:tab w:val="center" w:pos="2807"/>
            </w:tabs>
            <w:ind w:left="823"/>
            <w:rPr>
              <w:rFonts w:ascii="Times New Roman" w:hAnsi="Times New Roman"/>
              <w:b/>
              <w:bCs/>
              <w:i/>
              <w:color w:val="auto"/>
              <w:szCs w:val="24"/>
              <w:highlight w:val="yellow"/>
              <w:lang w:val="sr-Cyrl-BA"/>
            </w:rPr>
          </w:pPr>
          <w:r w:rsidRPr="00EB5128">
            <w:rPr>
              <w:rFonts w:ascii="Times New Roman" w:hAnsi="Times New Roman"/>
              <w:b/>
              <w:bCs/>
              <w:i/>
              <w:color w:val="auto"/>
              <w:szCs w:val="24"/>
              <w:lang w:val="sr-Cyrl-BA"/>
            </w:rPr>
            <w:t>Обим испитивања у Служби за хематолошку и биохемијску дијагностику</w:t>
          </w:r>
        </w:p>
      </w:tc>
      <w:tc>
        <w:tcPr>
          <w:tcW w:w="2579" w:type="dxa"/>
          <w:vAlign w:val="center"/>
        </w:tcPr>
        <w:p w:rsidR="00D47FC1" w:rsidRPr="00EB5128" w:rsidRDefault="00D47FC1" w:rsidP="00867ABA">
          <w:pPr>
            <w:pStyle w:val="Header"/>
            <w:jc w:val="center"/>
            <w:rPr>
              <w:rFonts w:ascii="Times New Roman" w:hAnsi="Times New Roman"/>
              <w:b/>
              <w:color w:val="auto"/>
              <w:szCs w:val="24"/>
            </w:rPr>
          </w:pPr>
          <w:r w:rsidRPr="00EB5128">
            <w:rPr>
              <w:rFonts w:ascii="Times New Roman" w:hAnsi="Times New Roman"/>
              <w:b/>
              <w:color w:val="auto"/>
              <w:szCs w:val="24"/>
            </w:rPr>
            <w:t>O</w:t>
          </w:r>
          <w:r w:rsidRPr="00EB5128">
            <w:rPr>
              <w:rFonts w:ascii="Times New Roman" w:hAnsi="Times New Roman"/>
              <w:b/>
              <w:color w:val="auto"/>
              <w:szCs w:val="24"/>
              <w:lang w:val="sr-Cyrl-CS"/>
            </w:rPr>
            <w:t>Б</w:t>
          </w:r>
          <w:r w:rsidRPr="00EB5128">
            <w:rPr>
              <w:rFonts w:ascii="Times New Roman" w:hAnsi="Times New Roman"/>
              <w:b/>
              <w:color w:val="auto"/>
              <w:szCs w:val="24"/>
            </w:rPr>
            <w:t>-10-017</w:t>
          </w:r>
        </w:p>
      </w:tc>
    </w:tr>
  </w:tbl>
  <w:p w:rsidR="00D47FC1" w:rsidRDefault="00D47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E5C23"/>
    <w:multiLevelType w:val="hybridMultilevel"/>
    <w:tmpl w:val="0CAA2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A2921"/>
    <w:multiLevelType w:val="hybridMultilevel"/>
    <w:tmpl w:val="7EE6B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14"/>
    <w:rsid w:val="000100C9"/>
    <w:rsid w:val="00073F14"/>
    <w:rsid w:val="000A30F2"/>
    <w:rsid w:val="000E510D"/>
    <w:rsid w:val="001027A0"/>
    <w:rsid w:val="001238EF"/>
    <w:rsid w:val="0021602E"/>
    <w:rsid w:val="002B1655"/>
    <w:rsid w:val="00311A5E"/>
    <w:rsid w:val="003176F9"/>
    <w:rsid w:val="00324985"/>
    <w:rsid w:val="00336C46"/>
    <w:rsid w:val="003E5C01"/>
    <w:rsid w:val="003E6267"/>
    <w:rsid w:val="003F6C75"/>
    <w:rsid w:val="00437033"/>
    <w:rsid w:val="004466F7"/>
    <w:rsid w:val="004D7A64"/>
    <w:rsid w:val="004F1D56"/>
    <w:rsid w:val="00524C89"/>
    <w:rsid w:val="00575660"/>
    <w:rsid w:val="00643ADA"/>
    <w:rsid w:val="006E43D0"/>
    <w:rsid w:val="006E5FE3"/>
    <w:rsid w:val="0075399B"/>
    <w:rsid w:val="0080051D"/>
    <w:rsid w:val="00806F5B"/>
    <w:rsid w:val="00815131"/>
    <w:rsid w:val="00867ABA"/>
    <w:rsid w:val="008A0D2D"/>
    <w:rsid w:val="008E76FC"/>
    <w:rsid w:val="0092290B"/>
    <w:rsid w:val="0094117F"/>
    <w:rsid w:val="009A7391"/>
    <w:rsid w:val="009B7465"/>
    <w:rsid w:val="00AB1457"/>
    <w:rsid w:val="00AF0A77"/>
    <w:rsid w:val="00BC6BD4"/>
    <w:rsid w:val="00BF690E"/>
    <w:rsid w:val="00C21888"/>
    <w:rsid w:val="00CD60D8"/>
    <w:rsid w:val="00CE4FBC"/>
    <w:rsid w:val="00CE7D29"/>
    <w:rsid w:val="00D34544"/>
    <w:rsid w:val="00D435A3"/>
    <w:rsid w:val="00D43934"/>
    <w:rsid w:val="00D47FC1"/>
    <w:rsid w:val="00D93B01"/>
    <w:rsid w:val="00D958AB"/>
    <w:rsid w:val="00DE1CBC"/>
    <w:rsid w:val="00E56237"/>
    <w:rsid w:val="00E766CD"/>
    <w:rsid w:val="00EB5128"/>
    <w:rsid w:val="00F37C34"/>
    <w:rsid w:val="00F639C8"/>
    <w:rsid w:val="00F72444"/>
    <w:rsid w:val="00FC11E5"/>
    <w:rsid w:val="00F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7397B2-4299-445F-A7DE-BBF55DA2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FF"/>
      <w:spacing w:val="4"/>
      <w:sz w:val="24"/>
      <w:lang w:val="sr-Latn-C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link w:val="Heading1"/>
    <w:rsid w:val="008A0D2D"/>
    <w:rPr>
      <w:rFonts w:ascii="Arial" w:hAnsi="Arial"/>
      <w:b/>
      <w:bCs/>
      <w:caps/>
      <w:color w:val="0000FF"/>
      <w:spacing w:val="4"/>
      <w:sz w:val="18"/>
      <w:lang w:val="sr-Latn-CS" w:eastAsia="en-US"/>
    </w:rPr>
  </w:style>
  <w:style w:type="paragraph" w:styleId="ListParagraph">
    <w:name w:val="List Paragraph"/>
    <w:basedOn w:val="Normal"/>
    <w:uiPriority w:val="34"/>
    <w:qFormat/>
    <w:rsid w:val="008E76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370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7033"/>
    <w:rPr>
      <w:rFonts w:ascii="Segoe UI" w:hAnsi="Segoe UI" w:cs="Segoe UI"/>
      <w:color w:val="0000FF"/>
      <w:spacing w:val="4"/>
      <w:sz w:val="18"/>
      <w:szCs w:val="18"/>
      <w:lang w:val="sr-Latn-CS" w:eastAsia="en-US"/>
    </w:rPr>
  </w:style>
  <w:style w:type="paragraph" w:styleId="NoSpacing">
    <w:name w:val="No Spacing"/>
    <w:uiPriority w:val="1"/>
    <w:qFormat/>
    <w:rsid w:val="00D958AB"/>
    <w:rPr>
      <w:rFonts w:asciiTheme="minorHAnsi" w:eastAsiaTheme="minorEastAsia" w:hAnsiTheme="minorHAnsi" w:cstheme="minorBidi"/>
      <w:sz w:val="22"/>
      <w:szCs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Bonex inzenjering</Company>
  <LinksUpToDate>false</LinksUpToDate>
  <CharactersWithSpaces>18188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Kvalitet</dc:creator>
  <cp:keywords/>
  <dc:description/>
  <cp:lastModifiedBy>Bane</cp:lastModifiedBy>
  <cp:revision>2</cp:revision>
  <cp:lastPrinted>2024-03-14T06:40:00Z</cp:lastPrinted>
  <dcterms:created xsi:type="dcterms:W3CDTF">2024-04-04T07:25:00Z</dcterms:created>
  <dcterms:modified xsi:type="dcterms:W3CDTF">2024-04-04T07:25:00Z</dcterms:modified>
</cp:coreProperties>
</file>